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1BA9" w14:textId="50A49FB7" w:rsidR="00D36B63" w:rsidRPr="004E5D79" w:rsidRDefault="000E74A5" w:rsidP="004E5D79">
      <w:pPr>
        <w:pStyle w:val="BodyText"/>
        <w:numPr>
          <w:ilvl w:val="0"/>
          <w:numId w:val="2"/>
        </w:numPr>
        <w:spacing w:before="240"/>
        <w:ind w:left="357" w:hanging="357"/>
        <w:jc w:val="both"/>
      </w:pPr>
      <w:r w:rsidRPr="004E5D79">
        <w:t>In 2021, the Queensland Government established the independent Tourism Industry Reference Panel to work with industry to identify actions needed to accelerate economic recovery from the pandemic and position the state’s tourism industry for future growth.</w:t>
      </w:r>
    </w:p>
    <w:p w14:paraId="57441BAB" w14:textId="77777777" w:rsidR="00D36B63" w:rsidRPr="004E5D79" w:rsidRDefault="000E74A5" w:rsidP="004E5D79">
      <w:pPr>
        <w:pStyle w:val="BodyText"/>
        <w:numPr>
          <w:ilvl w:val="0"/>
          <w:numId w:val="2"/>
        </w:numPr>
        <w:spacing w:before="240"/>
        <w:ind w:left="357" w:hanging="357"/>
        <w:jc w:val="both"/>
      </w:pPr>
      <w:r w:rsidRPr="004E5D79">
        <w:t xml:space="preserve">The Tourism Industry Reference Panel’s </w:t>
      </w:r>
      <w:r w:rsidRPr="004E5D79">
        <w:rPr>
          <w:i/>
        </w:rPr>
        <w:t xml:space="preserve">Action Plan for Tourism Recovery </w:t>
      </w:r>
      <w:r w:rsidRPr="004E5D79">
        <w:t>(the Action Plan) builds on industry and Government actions towards a broad range of outcomes for the tourism industry.</w:t>
      </w:r>
    </w:p>
    <w:p w14:paraId="57441BAD" w14:textId="2413E3F7" w:rsidR="00D36B63" w:rsidRPr="004E5D79" w:rsidRDefault="000E74A5" w:rsidP="004E5D79">
      <w:pPr>
        <w:pStyle w:val="BodyText"/>
        <w:numPr>
          <w:ilvl w:val="0"/>
          <w:numId w:val="2"/>
        </w:numPr>
        <w:spacing w:before="240"/>
        <w:ind w:left="357" w:hanging="357"/>
        <w:jc w:val="both"/>
      </w:pPr>
      <w:r w:rsidRPr="004E5D79">
        <w:t>The</w:t>
      </w:r>
      <w:r w:rsidRPr="004E5D79">
        <w:rPr>
          <w:spacing w:val="-9"/>
        </w:rPr>
        <w:t xml:space="preserve"> </w:t>
      </w:r>
      <w:r w:rsidRPr="004E5D79">
        <w:t>Action</w:t>
      </w:r>
      <w:r w:rsidRPr="004E5D79">
        <w:rPr>
          <w:spacing w:val="-12"/>
        </w:rPr>
        <w:t xml:space="preserve"> </w:t>
      </w:r>
      <w:r w:rsidRPr="004E5D79">
        <w:t>Plan</w:t>
      </w:r>
      <w:r w:rsidRPr="004E5D79">
        <w:rPr>
          <w:spacing w:val="-12"/>
        </w:rPr>
        <w:t xml:space="preserve"> </w:t>
      </w:r>
      <w:r w:rsidRPr="004E5D79">
        <w:t>represents</w:t>
      </w:r>
      <w:r w:rsidRPr="004E5D79">
        <w:rPr>
          <w:spacing w:val="-10"/>
        </w:rPr>
        <w:t xml:space="preserve"> </w:t>
      </w:r>
      <w:r w:rsidRPr="004E5D79">
        <w:t>a</w:t>
      </w:r>
      <w:r w:rsidRPr="004E5D79">
        <w:rPr>
          <w:spacing w:val="-11"/>
        </w:rPr>
        <w:t xml:space="preserve"> </w:t>
      </w:r>
      <w:r w:rsidRPr="004E5D79">
        <w:t>major</w:t>
      </w:r>
      <w:r w:rsidRPr="004E5D79">
        <w:rPr>
          <w:spacing w:val="-10"/>
        </w:rPr>
        <w:t xml:space="preserve"> </w:t>
      </w:r>
      <w:r w:rsidRPr="004E5D79">
        <w:t>turning</w:t>
      </w:r>
      <w:r w:rsidRPr="004E5D79">
        <w:rPr>
          <w:spacing w:val="-9"/>
        </w:rPr>
        <w:t xml:space="preserve"> </w:t>
      </w:r>
      <w:r w:rsidRPr="004E5D79">
        <w:t>point</w:t>
      </w:r>
      <w:r w:rsidRPr="004E5D79">
        <w:rPr>
          <w:spacing w:val="-10"/>
        </w:rPr>
        <w:t xml:space="preserve"> </w:t>
      </w:r>
      <w:r w:rsidRPr="004E5D79">
        <w:t>for</w:t>
      </w:r>
      <w:r w:rsidRPr="004E5D79">
        <w:rPr>
          <w:spacing w:val="-10"/>
        </w:rPr>
        <w:t xml:space="preserve"> </w:t>
      </w:r>
      <w:r w:rsidRPr="004E5D79">
        <w:t>the</w:t>
      </w:r>
      <w:r w:rsidRPr="004E5D79">
        <w:rPr>
          <w:spacing w:val="-12"/>
        </w:rPr>
        <w:t xml:space="preserve"> </w:t>
      </w:r>
      <w:r w:rsidRPr="004E5D79">
        <w:t>State’s</w:t>
      </w:r>
      <w:r w:rsidRPr="004E5D79">
        <w:rPr>
          <w:spacing w:val="-11"/>
        </w:rPr>
        <w:t xml:space="preserve"> </w:t>
      </w:r>
      <w:r w:rsidRPr="004E5D79">
        <w:t>tourism</w:t>
      </w:r>
      <w:r w:rsidRPr="004E5D79">
        <w:rPr>
          <w:spacing w:val="-8"/>
        </w:rPr>
        <w:t xml:space="preserve"> </w:t>
      </w:r>
      <w:r w:rsidRPr="004E5D79">
        <w:t>industry,</w:t>
      </w:r>
      <w:r w:rsidRPr="004E5D79">
        <w:rPr>
          <w:spacing w:val="-10"/>
        </w:rPr>
        <w:t xml:space="preserve"> </w:t>
      </w:r>
      <w:r w:rsidRPr="004E5D79">
        <w:t>reflecting deeply on past and present performance and providing clear recommendations to Government and industry on actions that can be taken to shape Queensland’s visitor economy for future success.</w:t>
      </w:r>
    </w:p>
    <w:p w14:paraId="2A1D534C" w14:textId="0E2D8EE5" w:rsidR="007E265E" w:rsidRPr="004E5D79" w:rsidRDefault="00F655CB" w:rsidP="004E5D79">
      <w:pPr>
        <w:pStyle w:val="BodyText"/>
        <w:numPr>
          <w:ilvl w:val="0"/>
          <w:numId w:val="2"/>
        </w:numPr>
        <w:spacing w:before="240"/>
        <w:ind w:left="357" w:hanging="357"/>
        <w:jc w:val="both"/>
      </w:pPr>
      <w:r w:rsidRPr="004E5D79">
        <w:t xml:space="preserve">The Interim Government response highlights the </w:t>
      </w:r>
      <w:r w:rsidR="00FA70F4" w:rsidRPr="004E5D79">
        <w:t>Queensland G</w:t>
      </w:r>
      <w:r w:rsidRPr="004E5D79">
        <w:t>overnment’s support for the touri</w:t>
      </w:r>
      <w:r w:rsidR="003105B6" w:rsidRPr="004E5D79">
        <w:t xml:space="preserve">sm sector and notes progress on the Panel’s </w:t>
      </w:r>
      <w:r w:rsidR="005370FC" w:rsidRPr="004E5D79">
        <w:t xml:space="preserve">Interim </w:t>
      </w:r>
      <w:r w:rsidR="003105B6" w:rsidRPr="004E5D79">
        <w:t xml:space="preserve">Action Plan </w:t>
      </w:r>
      <w:r w:rsidR="005370FC" w:rsidRPr="004E5D79">
        <w:t>for Tourism Recovery that was released in October 2021</w:t>
      </w:r>
      <w:r w:rsidR="00930B58" w:rsidRPr="004E5D79">
        <w:t>.</w:t>
      </w:r>
      <w:r w:rsidR="005940CA" w:rsidRPr="004E5D79">
        <w:t xml:space="preserve"> </w:t>
      </w:r>
      <w:r w:rsidR="00FA70F4" w:rsidRPr="004E5D79">
        <w:t xml:space="preserve">The Interim Government response </w:t>
      </w:r>
      <w:r w:rsidR="00A0585E" w:rsidRPr="004E5D79">
        <w:t xml:space="preserve">includes tourism focused outcomes and </w:t>
      </w:r>
      <w:r w:rsidR="002E559A" w:rsidRPr="004E5D79">
        <w:t>clarifies that following further engagement and implementation</w:t>
      </w:r>
      <w:r w:rsidR="008C37E9" w:rsidRPr="004E5D79">
        <w:t xml:space="preserve"> a full Queensland Government response be jointly led by industry and government.</w:t>
      </w:r>
    </w:p>
    <w:p w14:paraId="57441BAF" w14:textId="77777777" w:rsidR="00D36B63" w:rsidRPr="004E5D79" w:rsidRDefault="000E74A5" w:rsidP="004E5D79">
      <w:pPr>
        <w:pStyle w:val="BodyText"/>
        <w:numPr>
          <w:ilvl w:val="0"/>
          <w:numId w:val="2"/>
        </w:numPr>
        <w:spacing w:before="240"/>
        <w:ind w:left="357" w:hanging="357"/>
        <w:jc w:val="both"/>
      </w:pPr>
      <w:r w:rsidRPr="004E5D79">
        <w:rPr>
          <w:u w:val="single"/>
        </w:rPr>
        <w:t>Cabinet approved</w:t>
      </w:r>
      <w:r w:rsidRPr="004E5D79">
        <w:t xml:space="preserve"> the public release of the Tourism Industry Reference Panel’s Action Plan for Tourism Recovery and the Interim Queensland Government Response.</w:t>
      </w:r>
    </w:p>
    <w:p w14:paraId="57441BB1" w14:textId="4876C787" w:rsidR="00D36B63" w:rsidRPr="004E5D79" w:rsidRDefault="000E74A5" w:rsidP="004E5D79">
      <w:pPr>
        <w:pStyle w:val="BodyText"/>
        <w:numPr>
          <w:ilvl w:val="0"/>
          <w:numId w:val="2"/>
        </w:numPr>
        <w:spacing w:before="360"/>
        <w:ind w:left="357" w:hanging="357"/>
        <w:jc w:val="both"/>
        <w:rPr>
          <w:i/>
          <w:iCs/>
          <w:u w:val="single"/>
        </w:rPr>
      </w:pPr>
      <w:r w:rsidRPr="004E5D79">
        <w:rPr>
          <w:i/>
          <w:iCs/>
          <w:u w:val="single"/>
        </w:rPr>
        <w:t>Attachments</w:t>
      </w:r>
      <w:r w:rsidR="006D619B" w:rsidRPr="004E5D79">
        <w:rPr>
          <w:spacing w:val="-2"/>
        </w:rPr>
        <w:t>:</w:t>
      </w:r>
    </w:p>
    <w:p w14:paraId="57441BB2" w14:textId="63F4C1C0" w:rsidR="00D36B63" w:rsidRPr="004E5D79" w:rsidRDefault="00E840A5" w:rsidP="004E5D79">
      <w:pPr>
        <w:pStyle w:val="ListParagraph"/>
        <w:numPr>
          <w:ilvl w:val="1"/>
          <w:numId w:val="1"/>
        </w:numPr>
        <w:tabs>
          <w:tab w:val="left" w:pos="810"/>
        </w:tabs>
        <w:spacing w:before="120"/>
        <w:ind w:left="811" w:right="11"/>
        <w:rPr>
          <w:i/>
        </w:rPr>
      </w:pPr>
      <w:hyperlink r:id="rId9" w:history="1">
        <w:r w:rsidR="000E74A5" w:rsidRPr="001A503A">
          <w:rPr>
            <w:rStyle w:val="Hyperlink"/>
            <w:i/>
          </w:rPr>
          <w:t>Action Plan for Tourism Recovery (Towards 2032 – Reshaping Queensland’s visitor economy to welcome the world)</w:t>
        </w:r>
      </w:hyperlink>
    </w:p>
    <w:p w14:paraId="57441BB3" w14:textId="31D5A631" w:rsidR="00D36B63" w:rsidRPr="004E5D79" w:rsidRDefault="00E840A5" w:rsidP="004E5D79">
      <w:pPr>
        <w:pStyle w:val="ListParagraph"/>
        <w:numPr>
          <w:ilvl w:val="1"/>
          <w:numId w:val="1"/>
        </w:numPr>
        <w:tabs>
          <w:tab w:val="left" w:pos="810"/>
        </w:tabs>
        <w:spacing w:before="120"/>
        <w:ind w:left="811" w:right="11"/>
        <w:rPr>
          <w:i/>
        </w:rPr>
      </w:pPr>
      <w:hyperlink r:id="rId10" w:history="1">
        <w:r w:rsidR="000E74A5" w:rsidRPr="001A503A">
          <w:rPr>
            <w:rStyle w:val="Hyperlink"/>
          </w:rPr>
          <w:t>Interim</w:t>
        </w:r>
        <w:r w:rsidR="000E74A5" w:rsidRPr="001A503A">
          <w:rPr>
            <w:rStyle w:val="Hyperlink"/>
            <w:spacing w:val="80"/>
          </w:rPr>
          <w:t xml:space="preserve"> </w:t>
        </w:r>
        <w:r w:rsidR="000E74A5" w:rsidRPr="001A503A">
          <w:rPr>
            <w:rStyle w:val="Hyperlink"/>
          </w:rPr>
          <w:t>Queensland</w:t>
        </w:r>
        <w:r w:rsidR="000E74A5" w:rsidRPr="001A503A">
          <w:rPr>
            <w:rStyle w:val="Hyperlink"/>
            <w:spacing w:val="80"/>
          </w:rPr>
          <w:t xml:space="preserve"> </w:t>
        </w:r>
        <w:r w:rsidR="000E74A5" w:rsidRPr="001A503A">
          <w:rPr>
            <w:rStyle w:val="Hyperlink"/>
          </w:rPr>
          <w:t>Government</w:t>
        </w:r>
        <w:r w:rsidR="000E74A5" w:rsidRPr="001A503A">
          <w:rPr>
            <w:rStyle w:val="Hyperlink"/>
            <w:spacing w:val="80"/>
          </w:rPr>
          <w:t xml:space="preserve"> </w:t>
        </w:r>
        <w:r w:rsidR="000E74A5" w:rsidRPr="001A503A">
          <w:rPr>
            <w:rStyle w:val="Hyperlink"/>
          </w:rPr>
          <w:t>Response</w:t>
        </w:r>
        <w:r w:rsidR="000E74A5" w:rsidRPr="001A503A">
          <w:rPr>
            <w:rStyle w:val="Hyperlink"/>
            <w:spacing w:val="80"/>
          </w:rPr>
          <w:t xml:space="preserve"> </w:t>
        </w:r>
        <w:r w:rsidR="000E74A5" w:rsidRPr="001A503A">
          <w:rPr>
            <w:rStyle w:val="Hyperlink"/>
          </w:rPr>
          <w:t>to</w:t>
        </w:r>
        <w:r w:rsidR="000E74A5" w:rsidRPr="001A503A">
          <w:rPr>
            <w:rStyle w:val="Hyperlink"/>
            <w:spacing w:val="80"/>
            <w:w w:val="150"/>
          </w:rPr>
          <w:t xml:space="preserve"> </w:t>
        </w:r>
        <w:r w:rsidR="000E74A5" w:rsidRPr="001A503A">
          <w:rPr>
            <w:rStyle w:val="Hyperlink"/>
            <w:i/>
          </w:rPr>
          <w:t>Towards</w:t>
        </w:r>
        <w:r w:rsidR="000E74A5" w:rsidRPr="001A503A">
          <w:rPr>
            <w:rStyle w:val="Hyperlink"/>
            <w:i/>
            <w:spacing w:val="80"/>
          </w:rPr>
          <w:t xml:space="preserve"> </w:t>
        </w:r>
        <w:r w:rsidR="000E74A5" w:rsidRPr="001A503A">
          <w:rPr>
            <w:rStyle w:val="Hyperlink"/>
            <w:i/>
          </w:rPr>
          <w:t>2032</w:t>
        </w:r>
        <w:r w:rsidR="000E74A5" w:rsidRPr="001A503A">
          <w:rPr>
            <w:rStyle w:val="Hyperlink"/>
            <w:i/>
            <w:spacing w:val="80"/>
          </w:rPr>
          <w:t xml:space="preserve"> </w:t>
        </w:r>
        <w:r w:rsidR="000E74A5" w:rsidRPr="001A503A">
          <w:rPr>
            <w:rStyle w:val="Hyperlink"/>
            <w:i/>
          </w:rPr>
          <w:t>–</w:t>
        </w:r>
        <w:r w:rsidR="000E74A5" w:rsidRPr="001A503A">
          <w:rPr>
            <w:rStyle w:val="Hyperlink"/>
            <w:i/>
            <w:spacing w:val="80"/>
          </w:rPr>
          <w:t xml:space="preserve"> </w:t>
        </w:r>
        <w:r w:rsidR="000E74A5" w:rsidRPr="001A503A">
          <w:rPr>
            <w:rStyle w:val="Hyperlink"/>
            <w:i/>
          </w:rPr>
          <w:t>Reshaping</w:t>
        </w:r>
        <w:r w:rsidR="000E74A5" w:rsidRPr="001A503A">
          <w:rPr>
            <w:rStyle w:val="Hyperlink"/>
            <w:i/>
            <w:spacing w:val="80"/>
          </w:rPr>
          <w:t xml:space="preserve"> </w:t>
        </w:r>
        <w:r w:rsidR="000E74A5" w:rsidRPr="001A503A">
          <w:rPr>
            <w:rStyle w:val="Hyperlink"/>
            <w:i/>
          </w:rPr>
          <w:t>Queensland’s visitor economy to welcome the world</w:t>
        </w:r>
      </w:hyperlink>
    </w:p>
    <w:sectPr w:rsidR="00D36B63" w:rsidRPr="004E5D79" w:rsidSect="00B72B04">
      <w:headerReference w:type="default" r:id="rId11"/>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C20A" w14:textId="77777777" w:rsidR="00607684" w:rsidRDefault="00607684" w:rsidP="00B72B04">
      <w:r>
        <w:separator/>
      </w:r>
    </w:p>
  </w:endnote>
  <w:endnote w:type="continuationSeparator" w:id="0">
    <w:p w14:paraId="1222DFF3" w14:textId="77777777" w:rsidR="00607684" w:rsidRDefault="00607684" w:rsidP="00B7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D47F" w14:textId="77777777" w:rsidR="00607684" w:rsidRDefault="00607684" w:rsidP="00B72B04">
      <w:r>
        <w:separator/>
      </w:r>
    </w:p>
  </w:footnote>
  <w:footnote w:type="continuationSeparator" w:id="0">
    <w:p w14:paraId="69AC4FE1" w14:textId="77777777" w:rsidR="00607684" w:rsidRDefault="00607684" w:rsidP="00B7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D4B3" w14:textId="77777777" w:rsidR="00B72B04" w:rsidRPr="00937A4A" w:rsidRDefault="00B72B04" w:rsidP="00B72B04">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542E9810" w14:textId="77777777" w:rsidR="00B72B04" w:rsidRPr="00937A4A" w:rsidRDefault="00B72B04" w:rsidP="00B72B0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1A8C9121" w14:textId="5AE06BCF" w:rsidR="00B72B04" w:rsidRPr="00937A4A" w:rsidRDefault="00B72B04" w:rsidP="00B72B0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2022</w:t>
    </w:r>
  </w:p>
  <w:p w14:paraId="1DA8675F" w14:textId="7D827189" w:rsidR="00B72B04" w:rsidRDefault="00B72B04" w:rsidP="00B72B04">
    <w:pPr>
      <w:pStyle w:val="Header"/>
      <w:spacing w:before="120"/>
      <w:rPr>
        <w:b/>
        <w:u w:val="single"/>
      </w:rPr>
    </w:pPr>
    <w:r>
      <w:rPr>
        <w:b/>
        <w:u w:val="single"/>
      </w:rPr>
      <w:t>Public</w:t>
    </w:r>
    <w:r>
      <w:rPr>
        <w:b/>
        <w:spacing w:val="-5"/>
        <w:u w:val="single"/>
      </w:rPr>
      <w:t xml:space="preserve"> </w:t>
    </w:r>
    <w:r>
      <w:rPr>
        <w:b/>
        <w:u w:val="single"/>
      </w:rPr>
      <w:t>release</w:t>
    </w:r>
    <w:r>
      <w:rPr>
        <w:b/>
        <w:spacing w:val="-4"/>
        <w:u w:val="single"/>
      </w:rPr>
      <w:t xml:space="preserve"> </w:t>
    </w:r>
    <w:r>
      <w:rPr>
        <w:b/>
        <w:u w:val="single"/>
      </w:rPr>
      <w:t>of</w:t>
    </w:r>
    <w:r>
      <w:rPr>
        <w:b/>
        <w:spacing w:val="-3"/>
        <w:u w:val="single"/>
      </w:rPr>
      <w:t xml:space="preserve"> </w:t>
    </w:r>
    <w:r>
      <w:rPr>
        <w:b/>
        <w:u w:val="single"/>
      </w:rPr>
      <w:t>the</w:t>
    </w:r>
    <w:r>
      <w:rPr>
        <w:b/>
        <w:spacing w:val="-8"/>
        <w:u w:val="single"/>
      </w:rPr>
      <w:t xml:space="preserve"> </w:t>
    </w:r>
    <w:r>
      <w:rPr>
        <w:b/>
        <w:u w:val="single"/>
      </w:rPr>
      <w:t>Action</w:t>
    </w:r>
    <w:r>
      <w:rPr>
        <w:b/>
        <w:spacing w:val="-5"/>
        <w:u w:val="single"/>
      </w:rPr>
      <w:t xml:space="preserve"> </w:t>
    </w:r>
    <w:r>
      <w:rPr>
        <w:b/>
        <w:u w:val="single"/>
      </w:rPr>
      <w:t>Plan</w:t>
    </w:r>
    <w:r>
      <w:rPr>
        <w:b/>
        <w:spacing w:val="-4"/>
        <w:u w:val="single"/>
      </w:rPr>
      <w:t xml:space="preserve"> </w:t>
    </w:r>
    <w:r>
      <w:rPr>
        <w:b/>
        <w:u w:val="single"/>
      </w:rPr>
      <w:t>for</w:t>
    </w:r>
    <w:r>
      <w:rPr>
        <w:b/>
        <w:spacing w:val="-6"/>
        <w:u w:val="single"/>
      </w:rPr>
      <w:t xml:space="preserve"> </w:t>
    </w:r>
    <w:r>
      <w:rPr>
        <w:b/>
        <w:u w:val="single"/>
      </w:rPr>
      <w:t>Tourism</w:t>
    </w:r>
    <w:r>
      <w:rPr>
        <w:b/>
        <w:spacing w:val="-6"/>
        <w:u w:val="single"/>
      </w:rPr>
      <w:t xml:space="preserve"> </w:t>
    </w:r>
    <w:r>
      <w:rPr>
        <w:b/>
        <w:spacing w:val="-2"/>
        <w:u w:val="single"/>
      </w:rPr>
      <w:t>Recovery</w:t>
    </w:r>
  </w:p>
  <w:p w14:paraId="60926CD2" w14:textId="36952BB9" w:rsidR="00B72B04" w:rsidRDefault="00B72B04" w:rsidP="00B72B04">
    <w:pPr>
      <w:pStyle w:val="Header"/>
      <w:spacing w:before="120"/>
      <w:rPr>
        <w:b/>
        <w:u w:val="single"/>
      </w:rPr>
    </w:pPr>
    <w:r>
      <w:rPr>
        <w:b/>
        <w:u w:val="single"/>
      </w:rPr>
      <w:t>Minister</w:t>
    </w:r>
    <w:r>
      <w:rPr>
        <w:b/>
        <w:spacing w:val="-3"/>
        <w:u w:val="single"/>
      </w:rPr>
      <w:t xml:space="preserve"> </w:t>
    </w:r>
    <w:r>
      <w:rPr>
        <w:b/>
        <w:u w:val="single"/>
      </w:rPr>
      <w:t>for</w:t>
    </w:r>
    <w:r>
      <w:rPr>
        <w:b/>
        <w:spacing w:val="-3"/>
        <w:u w:val="single"/>
      </w:rPr>
      <w:t xml:space="preserve"> </w:t>
    </w:r>
    <w:r>
      <w:rPr>
        <w:b/>
        <w:u w:val="single"/>
      </w:rPr>
      <w:t>Tourism,</w:t>
    </w:r>
    <w:r>
      <w:rPr>
        <w:b/>
        <w:spacing w:val="-3"/>
        <w:u w:val="single"/>
      </w:rPr>
      <w:t xml:space="preserve"> </w:t>
    </w:r>
    <w:r>
      <w:rPr>
        <w:b/>
        <w:u w:val="single"/>
      </w:rPr>
      <w:t>Innovation</w:t>
    </w:r>
    <w:r>
      <w:rPr>
        <w:b/>
        <w:spacing w:val="-4"/>
        <w:u w:val="single"/>
      </w:rPr>
      <w:t xml:space="preserve"> </w:t>
    </w:r>
    <w:r>
      <w:rPr>
        <w:b/>
        <w:u w:val="single"/>
      </w:rPr>
      <w:t>and</w:t>
    </w:r>
    <w:r>
      <w:rPr>
        <w:b/>
        <w:spacing w:val="-2"/>
        <w:u w:val="single"/>
      </w:rPr>
      <w:t xml:space="preserve"> </w:t>
    </w:r>
    <w:r>
      <w:rPr>
        <w:b/>
        <w:u w:val="single"/>
      </w:rPr>
      <w:t>Sport and</w:t>
    </w:r>
    <w:r>
      <w:rPr>
        <w:b/>
        <w:spacing w:val="-2"/>
        <w:u w:val="single"/>
      </w:rPr>
      <w:t xml:space="preserve"> </w:t>
    </w:r>
    <w:r>
      <w:rPr>
        <w:b/>
        <w:u w:val="single"/>
      </w:rPr>
      <w:t>Minister</w:t>
    </w:r>
    <w:r>
      <w:rPr>
        <w:b/>
        <w:spacing w:val="-3"/>
        <w:u w:val="single"/>
      </w:rPr>
      <w:t xml:space="preserve"> </w:t>
    </w:r>
    <w:r>
      <w:rPr>
        <w:b/>
        <w:u w:val="single"/>
      </w:rPr>
      <w:t>Assisting</w:t>
    </w:r>
    <w:r>
      <w:rPr>
        <w:b/>
        <w:spacing w:val="-5"/>
        <w:u w:val="single"/>
      </w:rPr>
      <w:t xml:space="preserve"> </w:t>
    </w:r>
    <w:r>
      <w:rPr>
        <w:b/>
        <w:u w:val="single"/>
      </w:rPr>
      <w:t>the</w:t>
    </w:r>
    <w:r>
      <w:rPr>
        <w:b/>
        <w:spacing w:val="-2"/>
        <w:u w:val="single"/>
      </w:rPr>
      <w:t xml:space="preserve"> </w:t>
    </w:r>
    <w:r>
      <w:rPr>
        <w:b/>
        <w:u w:val="single"/>
      </w:rPr>
      <w:t>Premi</w:t>
    </w:r>
    <w:r w:rsidRPr="004E5D79">
      <w:rPr>
        <w:b/>
        <w:u w:val="single"/>
      </w:rPr>
      <w:t>er</w:t>
    </w:r>
    <w:r w:rsidRPr="004E5D79">
      <w:rPr>
        <w:b/>
        <w:spacing w:val="-4"/>
        <w:u w:val="single"/>
      </w:rPr>
      <w:t xml:space="preserve"> </w:t>
    </w:r>
    <w:r w:rsidRPr="004E5D79">
      <w:rPr>
        <w:b/>
        <w:u w:val="single"/>
      </w:rPr>
      <w:t>on Olym</w:t>
    </w:r>
    <w:r>
      <w:rPr>
        <w:b/>
        <w:u w:val="single"/>
      </w:rPr>
      <w:t>pics and Paralympics Sport and Engagement</w:t>
    </w:r>
  </w:p>
  <w:p w14:paraId="04C5901C" w14:textId="77777777" w:rsidR="00B72B04" w:rsidRDefault="00B72B04" w:rsidP="0073566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2BD9"/>
    <w:multiLevelType w:val="hybridMultilevel"/>
    <w:tmpl w:val="F7DC7864"/>
    <w:lvl w:ilvl="0" w:tplc="39C2403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DB2656"/>
    <w:multiLevelType w:val="hybridMultilevel"/>
    <w:tmpl w:val="E05A6ED0"/>
    <w:lvl w:ilvl="0" w:tplc="BB621F40">
      <w:start w:val="1"/>
      <w:numFmt w:val="decimal"/>
      <w:lvlText w:val="%1."/>
      <w:lvlJc w:val="left"/>
      <w:pPr>
        <w:ind w:left="580" w:hanging="360"/>
        <w:jc w:val="left"/>
      </w:pPr>
      <w:rPr>
        <w:rFonts w:ascii="Arial" w:eastAsia="Arial" w:hAnsi="Arial" w:cs="Arial" w:hint="default"/>
        <w:b w:val="0"/>
        <w:bCs w:val="0"/>
        <w:i w:val="0"/>
        <w:iCs w:val="0"/>
        <w:spacing w:val="-1"/>
        <w:w w:val="100"/>
        <w:sz w:val="22"/>
        <w:szCs w:val="22"/>
      </w:rPr>
    </w:lvl>
    <w:lvl w:ilvl="1" w:tplc="50263986">
      <w:numFmt w:val="bullet"/>
      <w:lvlText w:val=""/>
      <w:lvlJc w:val="left"/>
      <w:pPr>
        <w:ind w:left="1034" w:hanging="454"/>
      </w:pPr>
      <w:rPr>
        <w:rFonts w:ascii="Symbol" w:eastAsia="Symbol" w:hAnsi="Symbol" w:cs="Symbol" w:hint="default"/>
        <w:b w:val="0"/>
        <w:bCs w:val="0"/>
        <w:i w:val="0"/>
        <w:iCs w:val="0"/>
        <w:w w:val="100"/>
        <w:sz w:val="23"/>
        <w:szCs w:val="23"/>
      </w:rPr>
    </w:lvl>
    <w:lvl w:ilvl="2" w:tplc="458424E0">
      <w:numFmt w:val="bullet"/>
      <w:lvlText w:val="•"/>
      <w:lvlJc w:val="left"/>
      <w:pPr>
        <w:ind w:left="1976" w:hanging="454"/>
      </w:pPr>
      <w:rPr>
        <w:rFonts w:hint="default"/>
      </w:rPr>
    </w:lvl>
    <w:lvl w:ilvl="3" w:tplc="1F94F3A6">
      <w:numFmt w:val="bullet"/>
      <w:lvlText w:val="•"/>
      <w:lvlJc w:val="left"/>
      <w:pPr>
        <w:ind w:left="2912" w:hanging="454"/>
      </w:pPr>
      <w:rPr>
        <w:rFonts w:hint="default"/>
      </w:rPr>
    </w:lvl>
    <w:lvl w:ilvl="4" w:tplc="B46E5ECE">
      <w:numFmt w:val="bullet"/>
      <w:lvlText w:val="•"/>
      <w:lvlJc w:val="left"/>
      <w:pPr>
        <w:ind w:left="3848" w:hanging="454"/>
      </w:pPr>
      <w:rPr>
        <w:rFonts w:hint="default"/>
      </w:rPr>
    </w:lvl>
    <w:lvl w:ilvl="5" w:tplc="6A1C285C">
      <w:numFmt w:val="bullet"/>
      <w:lvlText w:val="•"/>
      <w:lvlJc w:val="left"/>
      <w:pPr>
        <w:ind w:left="4785" w:hanging="454"/>
      </w:pPr>
      <w:rPr>
        <w:rFonts w:hint="default"/>
      </w:rPr>
    </w:lvl>
    <w:lvl w:ilvl="6" w:tplc="9D1CDC16">
      <w:numFmt w:val="bullet"/>
      <w:lvlText w:val="•"/>
      <w:lvlJc w:val="left"/>
      <w:pPr>
        <w:ind w:left="5721" w:hanging="454"/>
      </w:pPr>
      <w:rPr>
        <w:rFonts w:hint="default"/>
      </w:rPr>
    </w:lvl>
    <w:lvl w:ilvl="7" w:tplc="ED6E3990">
      <w:numFmt w:val="bullet"/>
      <w:lvlText w:val="•"/>
      <w:lvlJc w:val="left"/>
      <w:pPr>
        <w:ind w:left="6657" w:hanging="454"/>
      </w:pPr>
      <w:rPr>
        <w:rFonts w:hint="default"/>
      </w:rPr>
    </w:lvl>
    <w:lvl w:ilvl="8" w:tplc="92FAEC42">
      <w:numFmt w:val="bullet"/>
      <w:lvlText w:val="•"/>
      <w:lvlJc w:val="left"/>
      <w:pPr>
        <w:ind w:left="7593" w:hanging="454"/>
      </w:pPr>
      <w:rPr>
        <w:rFonts w:hint="default"/>
      </w:rPr>
    </w:lvl>
  </w:abstractNum>
  <w:num w:numId="1" w16cid:durableId="395589382">
    <w:abstractNumId w:val="1"/>
  </w:num>
  <w:num w:numId="2" w16cid:durableId="13336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63"/>
    <w:rsid w:val="00045604"/>
    <w:rsid w:val="000E74A5"/>
    <w:rsid w:val="00153048"/>
    <w:rsid w:val="001A503A"/>
    <w:rsid w:val="002E559A"/>
    <w:rsid w:val="003105B6"/>
    <w:rsid w:val="004E5D79"/>
    <w:rsid w:val="005370FC"/>
    <w:rsid w:val="00550352"/>
    <w:rsid w:val="005940CA"/>
    <w:rsid w:val="00607684"/>
    <w:rsid w:val="006D619B"/>
    <w:rsid w:val="00735666"/>
    <w:rsid w:val="007E265E"/>
    <w:rsid w:val="008C37E9"/>
    <w:rsid w:val="00930B58"/>
    <w:rsid w:val="00932BD1"/>
    <w:rsid w:val="009449E7"/>
    <w:rsid w:val="00A0585E"/>
    <w:rsid w:val="00B72B04"/>
    <w:rsid w:val="00BC47C4"/>
    <w:rsid w:val="00C44000"/>
    <w:rsid w:val="00D36B63"/>
    <w:rsid w:val="00D86602"/>
    <w:rsid w:val="00DA4D42"/>
    <w:rsid w:val="00E840A5"/>
    <w:rsid w:val="00F655CB"/>
    <w:rsid w:val="00FA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2" w:right="27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0"/>
      <w:ind w:left="302" w:right="279"/>
      <w:jc w:val="center"/>
    </w:pPr>
    <w:rPr>
      <w:b/>
      <w:bCs/>
      <w:sz w:val="56"/>
      <w:szCs w:val="56"/>
    </w:rPr>
  </w:style>
  <w:style w:type="paragraph" w:styleId="ListParagraph">
    <w:name w:val="List Paragraph"/>
    <w:basedOn w:val="Normal"/>
    <w:uiPriority w:val="1"/>
    <w:qFormat/>
    <w:pPr>
      <w:ind w:left="580" w:right="212"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7E265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0E74A5"/>
    <w:rPr>
      <w:sz w:val="16"/>
      <w:szCs w:val="16"/>
    </w:rPr>
  </w:style>
  <w:style w:type="paragraph" w:styleId="CommentText">
    <w:name w:val="annotation text"/>
    <w:basedOn w:val="Normal"/>
    <w:link w:val="CommentTextChar"/>
    <w:uiPriority w:val="99"/>
    <w:unhideWhenUsed/>
    <w:rsid w:val="000E74A5"/>
    <w:rPr>
      <w:sz w:val="20"/>
      <w:szCs w:val="20"/>
    </w:rPr>
  </w:style>
  <w:style w:type="character" w:customStyle="1" w:styleId="CommentTextChar">
    <w:name w:val="Comment Text Char"/>
    <w:basedOn w:val="DefaultParagraphFont"/>
    <w:link w:val="CommentText"/>
    <w:uiPriority w:val="99"/>
    <w:rsid w:val="000E74A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E74A5"/>
    <w:rPr>
      <w:b/>
      <w:bCs/>
    </w:rPr>
  </w:style>
  <w:style w:type="character" w:customStyle="1" w:styleId="CommentSubjectChar">
    <w:name w:val="Comment Subject Char"/>
    <w:basedOn w:val="CommentTextChar"/>
    <w:link w:val="CommentSubject"/>
    <w:uiPriority w:val="99"/>
    <w:semiHidden/>
    <w:rsid w:val="000E74A5"/>
    <w:rPr>
      <w:rFonts w:ascii="Arial" w:eastAsia="Arial" w:hAnsi="Arial" w:cs="Arial"/>
      <w:b/>
      <w:bCs/>
      <w:sz w:val="20"/>
      <w:szCs w:val="20"/>
    </w:rPr>
  </w:style>
  <w:style w:type="paragraph" w:styleId="Header">
    <w:name w:val="header"/>
    <w:basedOn w:val="Normal"/>
    <w:link w:val="HeaderChar"/>
    <w:uiPriority w:val="99"/>
    <w:unhideWhenUsed/>
    <w:rsid w:val="00B72B04"/>
    <w:pPr>
      <w:tabs>
        <w:tab w:val="center" w:pos="4680"/>
        <w:tab w:val="right" w:pos="9360"/>
      </w:tabs>
    </w:pPr>
  </w:style>
  <w:style w:type="character" w:customStyle="1" w:styleId="HeaderChar">
    <w:name w:val="Header Char"/>
    <w:basedOn w:val="DefaultParagraphFont"/>
    <w:link w:val="Header"/>
    <w:uiPriority w:val="99"/>
    <w:rsid w:val="00B72B04"/>
    <w:rPr>
      <w:rFonts w:ascii="Arial" w:eastAsia="Arial" w:hAnsi="Arial" w:cs="Arial"/>
    </w:rPr>
  </w:style>
  <w:style w:type="paragraph" w:styleId="Footer">
    <w:name w:val="footer"/>
    <w:basedOn w:val="Normal"/>
    <w:link w:val="FooterChar"/>
    <w:uiPriority w:val="99"/>
    <w:unhideWhenUsed/>
    <w:rsid w:val="00B72B04"/>
    <w:pPr>
      <w:tabs>
        <w:tab w:val="center" w:pos="4680"/>
        <w:tab w:val="right" w:pos="9360"/>
      </w:tabs>
    </w:pPr>
  </w:style>
  <w:style w:type="character" w:customStyle="1" w:styleId="FooterChar">
    <w:name w:val="Footer Char"/>
    <w:basedOn w:val="DefaultParagraphFont"/>
    <w:link w:val="Footer"/>
    <w:uiPriority w:val="99"/>
    <w:rsid w:val="00B72B04"/>
    <w:rPr>
      <w:rFonts w:ascii="Arial" w:eastAsia="Arial" w:hAnsi="Arial" w:cs="Arial"/>
    </w:rPr>
  </w:style>
  <w:style w:type="character" w:styleId="Hyperlink">
    <w:name w:val="Hyperlink"/>
    <w:basedOn w:val="DefaultParagraphFont"/>
    <w:uiPriority w:val="99"/>
    <w:unhideWhenUsed/>
    <w:rsid w:val="001A503A"/>
    <w:rPr>
      <w:color w:val="0000FF" w:themeColor="hyperlink"/>
      <w:u w:val="single"/>
    </w:rPr>
  </w:style>
  <w:style w:type="character" w:styleId="UnresolvedMention">
    <w:name w:val="Unresolved Mention"/>
    <w:basedOn w:val="DefaultParagraphFont"/>
    <w:uiPriority w:val="99"/>
    <w:semiHidden/>
    <w:unhideWhenUsed/>
    <w:rsid w:val="001A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Users/holleyr/DPC/DPC%20-%20CabSec%20-%20General/ProactiveRelease/ToBeProcessed/2022/Jun/TourismRecAP/Attachments/Response.PDF" TargetMode="External"/><Relationship Id="rId4" Type="http://schemas.openxmlformats.org/officeDocument/2006/relationships/styles" Target="styles.xml"/><Relationship Id="rId9" Type="http://schemas.openxmlformats.org/officeDocument/2006/relationships/hyperlink" Target="C:/Users/holleyr/DPC/DPC%20-%20CabSec%20-%20General/ProactiveRelease/ToBeProcessed/2022/Jun/TourismRecAP/Attachments/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F62A0-3659-47BE-A1C8-3BE44694E065}">
  <ds:schemaRefs>
    <ds:schemaRef ds:uri="http://schemas.microsoft.com/sharepoint/v3/contenttype/forms"/>
  </ds:schemaRefs>
</ds:datastoreItem>
</file>

<file path=customXml/itemProps2.xml><?xml version="1.0" encoding="utf-8"?>
<ds:datastoreItem xmlns:ds="http://schemas.openxmlformats.org/officeDocument/2006/customXml" ds:itemID="{25C91522-265E-4959-BAF4-0F0AC1BDD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225</Words>
  <Characters>1349</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Base>https://www.cabinet.qld.gov.au/documents/2022/Jun/TourismRecAP/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2022-09-08T07:05:00Z</cp:lastPrinted>
  <dcterms:created xsi:type="dcterms:W3CDTF">2022-08-18T01:07:00Z</dcterms:created>
  <dcterms:modified xsi:type="dcterms:W3CDTF">2022-12-22T06:18:00Z</dcterms:modified>
  <cp:category>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for Microsoft 365</vt:lpwstr>
  </property>
  <property fmtid="{D5CDD505-2E9C-101B-9397-08002B2CF9AE}" pid="4" name="LastSaved">
    <vt:filetime>2022-06-15T00:00:00Z</vt:filetime>
  </property>
  <property fmtid="{D5CDD505-2E9C-101B-9397-08002B2CF9AE}" pid="5" name="MSIP_Label_282828d4-d65e-4c38-b4f3-1feba3142871_Enabled">
    <vt:lpwstr>true</vt:lpwstr>
  </property>
  <property fmtid="{D5CDD505-2E9C-101B-9397-08002B2CF9AE}" pid="6" name="MSIP_Label_282828d4-d65e-4c38-b4f3-1feba3142871_SetDate">
    <vt:lpwstr>2022-12-22T06:18:56Z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d798e5ca-89a0-453a-a540-dcbb5395c12a</vt:lpwstr>
  </property>
  <property fmtid="{D5CDD505-2E9C-101B-9397-08002B2CF9AE}" pid="11" name="MSIP_Label_282828d4-d65e-4c38-b4f3-1feba3142871_ContentBits">
    <vt:lpwstr>0</vt:lpwstr>
  </property>
</Properties>
</file>